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8F0C2C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о</w:t>
            </w:r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т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[</w:t>
            </w:r>
            <w:proofErr w:type="gramStart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Дата</w:t>
            </w:r>
            <w:proofErr w:type="gramEnd"/>
            <w:r w:rsidR="00F67E37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 xml:space="preserve"> документа]</w:t>
            </w:r>
          </w:p>
        </w:tc>
        <w:tc>
          <w:tcPr>
            <w:tcW w:w="4678" w:type="dxa"/>
          </w:tcPr>
          <w:p w:rsidR="00B36297" w:rsidRPr="008F0C2C" w:rsidRDefault="00B36297" w:rsidP="00D97ACC">
            <w:pPr>
              <w:jc w:val="right"/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</w:pPr>
            <w:r w:rsidRPr="008F0C2C">
              <w:rPr>
                <w:rFonts w:ascii="PT Astra Serif" w:hAnsi="PT Astra Serif"/>
                <w:color w:val="D9D9D9" w:themeColor="background1" w:themeShade="D9"/>
                <w:sz w:val="28"/>
                <w:szCs w:val="24"/>
              </w:rPr>
              <w:t>№ [Номер документа]</w:t>
            </w:r>
          </w:p>
          <w:p w:rsidR="00B36297" w:rsidRPr="008F0C2C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администрации города Югорска </w:t>
      </w:r>
      <w:proofErr w:type="gramStart"/>
      <w:r>
        <w:rPr>
          <w:rFonts w:ascii="PT Astra Serif" w:eastAsia="Calibri" w:hAnsi="PT Astra Serif"/>
          <w:sz w:val="28"/>
          <w:szCs w:val="26"/>
          <w:lang w:eastAsia="en-US"/>
        </w:rPr>
        <w:t>от</w:t>
      </w:r>
      <w:proofErr w:type="gramEnd"/>
    </w:p>
    <w:p w:rsidR="00D61C40" w:rsidRDefault="00486D57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15.02.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2022 №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>64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</w:p>
    <w:p w:rsidR="00486D57" w:rsidRDefault="00C427D2" w:rsidP="00486D57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услуги «</w:t>
      </w:r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Перевод </w:t>
      </w:r>
      <w:proofErr w:type="gramStart"/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жилого</w:t>
      </w:r>
      <w:proofErr w:type="gramEnd"/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</w:p>
    <w:p w:rsidR="00486D57" w:rsidRPr="00486D57" w:rsidRDefault="00486D57" w:rsidP="00486D57">
      <w:pPr>
        <w:jc w:val="both"/>
        <w:rPr>
          <w:rFonts w:ascii="PT Astra Serif" w:eastAsia="Calibri" w:hAnsi="PT Astra Serif"/>
          <w:bCs/>
          <w:iCs/>
          <w:sz w:val="28"/>
          <w:szCs w:val="26"/>
          <w:lang w:eastAsia="en-US"/>
        </w:rPr>
      </w:pPr>
      <w:r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помещения в нежилое помещение и нежилого</w:t>
      </w:r>
    </w:p>
    <w:p w:rsidR="00C427D2" w:rsidRPr="00C427D2" w:rsidRDefault="00486D57" w:rsidP="00486D57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помещения в жилое помещение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P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Pr="00AB639A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 xml:space="preserve">Земельным кодексом Российской Федерации,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486D5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Внести в постановлени</w:t>
      </w:r>
      <w:r w:rsidR="00486D57"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 </w:t>
      </w:r>
      <w:r w:rsidR="00486D57">
        <w:rPr>
          <w:rFonts w:ascii="PT Astra Serif" w:eastAsia="Calibri" w:hAnsi="PT Astra Serif"/>
          <w:sz w:val="28"/>
          <w:szCs w:val="26"/>
          <w:lang w:eastAsia="en-US"/>
        </w:rPr>
        <w:t>15.02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.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2022 №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</w:t>
      </w:r>
      <w:r w:rsidR="00486D57">
        <w:rPr>
          <w:rFonts w:ascii="PT Astra Serif" w:eastAsia="Calibri" w:hAnsi="PT Astra Serif"/>
          <w:sz w:val="28"/>
          <w:szCs w:val="26"/>
          <w:lang w:eastAsia="en-US"/>
        </w:rPr>
        <w:t>64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-п «Об утверждении административного регламента предоставления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</w:t>
      </w:r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Перевод жилого помещения в нежилое</w:t>
      </w:r>
      <w:r w:rsid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 xml:space="preserve"> </w:t>
      </w:r>
      <w:r w:rsidR="00486D57" w:rsidRPr="00486D57">
        <w:rPr>
          <w:rFonts w:ascii="PT Astra Serif" w:eastAsia="Calibri" w:hAnsi="PT Astra Serif"/>
          <w:bCs/>
          <w:iCs/>
          <w:sz w:val="28"/>
          <w:szCs w:val="26"/>
          <w:lang w:eastAsia="en-US"/>
        </w:rPr>
        <w:t>помещение и нежилого помещения в жилое помещение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» (с изменениями от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21.11.2022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 xml:space="preserve">№ </w:t>
      </w:r>
      <w:r w:rsidR="0099376D">
        <w:rPr>
          <w:rFonts w:ascii="PT Astra Serif" w:eastAsia="Calibri" w:hAnsi="PT Astra Serif"/>
          <w:sz w:val="28"/>
          <w:szCs w:val="26"/>
          <w:lang w:eastAsia="en-US"/>
        </w:rPr>
        <w:t>2445</w:t>
      </w:r>
      <w:r w:rsidR="00C429CD" w:rsidRPr="00C429CD">
        <w:rPr>
          <w:rFonts w:ascii="PT Astra Serif" w:eastAsia="Calibri" w:hAnsi="PT Astra Serif"/>
          <w:sz w:val="28"/>
          <w:szCs w:val="26"/>
          <w:lang w:eastAsia="en-US"/>
        </w:rPr>
        <w:t>-п)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следующие изменения:</w:t>
      </w:r>
    </w:p>
    <w:p w:rsidR="00AF7D8F" w:rsidRPr="00AF7D8F" w:rsidRDefault="00C429CD" w:rsidP="00AF7D8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1.1. </w:t>
      </w:r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 xml:space="preserve">В пункте 5 слова «первого заместителя главы города – директора Департамента муниципальной собственности и градостроительства С.Д. </w:t>
      </w:r>
      <w:proofErr w:type="spellStart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>Голина</w:t>
      </w:r>
      <w:proofErr w:type="spellEnd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администрации города Югорска </w:t>
      </w:r>
      <w:proofErr w:type="spellStart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>Котелкину</w:t>
      </w:r>
      <w:proofErr w:type="spellEnd"/>
      <w:r w:rsidR="00AF7D8F" w:rsidRPr="00AF7D8F">
        <w:rPr>
          <w:rFonts w:ascii="PT Astra Serif" w:eastAsia="Calibri" w:hAnsi="PT Astra Serif"/>
          <w:sz w:val="28"/>
          <w:szCs w:val="26"/>
          <w:lang w:eastAsia="en-US"/>
        </w:rPr>
        <w:t xml:space="preserve"> Ю.В.».</w:t>
      </w:r>
    </w:p>
    <w:p w:rsidR="00AF7D8F" w:rsidRPr="00AF7D8F" w:rsidRDefault="00AF7D8F" w:rsidP="00AF7D8F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F7D8F">
        <w:rPr>
          <w:rFonts w:ascii="PT Astra Serif" w:eastAsia="Calibri" w:hAnsi="PT Astra Serif"/>
          <w:sz w:val="28"/>
          <w:szCs w:val="26"/>
          <w:lang w:eastAsia="en-US"/>
        </w:rPr>
        <w:t>1.2. В приложении:</w:t>
      </w:r>
    </w:p>
    <w:p w:rsidR="00C429CD" w:rsidRDefault="00AF7D8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1.2.1. 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="00C429CD"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="00FE4D8B"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="00C429CD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AF7D8F" w:rsidRDefault="00D77C8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F015E">
        <w:rPr>
          <w:rFonts w:ascii="PT Astra Serif" w:eastAsia="Calibri" w:hAnsi="PT Astra Serif"/>
          <w:sz w:val="28"/>
          <w:szCs w:val="26"/>
          <w:lang w:val="en-US"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 В пункте 2.2:</w:t>
      </w:r>
    </w:p>
    <w:p w:rsidR="00D77C87" w:rsidRDefault="00D77C8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lastRenderedPageBreak/>
        <w:t>1.2.</w:t>
      </w:r>
      <w:r w:rsidR="008F015E" w:rsidRPr="001C6CD4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.1.1. В абзаце втором слова «отдел по работе с юридичес</w:t>
      </w:r>
      <w:r w:rsidR="001C6CD4">
        <w:rPr>
          <w:rFonts w:ascii="PT Astra Serif" w:eastAsia="Calibri" w:hAnsi="PT Astra Serif"/>
          <w:sz w:val="28"/>
          <w:szCs w:val="26"/>
          <w:lang w:eastAsia="en-US"/>
        </w:rPr>
        <w:t>кими лицами» заменить словами «</w:t>
      </w:r>
      <w:r>
        <w:rPr>
          <w:rFonts w:ascii="PT Astra Serif" w:eastAsia="Calibri" w:hAnsi="PT Astra Serif"/>
          <w:sz w:val="28"/>
          <w:szCs w:val="26"/>
          <w:lang w:eastAsia="en-US"/>
        </w:rPr>
        <w:t>отдел градостроительной и разрешительной документации».</w:t>
      </w:r>
    </w:p>
    <w:p w:rsidR="00D77C87" w:rsidRDefault="00D77C8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F015E">
        <w:rPr>
          <w:rFonts w:ascii="PT Astra Serif" w:eastAsia="Calibri" w:hAnsi="PT Astra Serif"/>
          <w:sz w:val="28"/>
          <w:szCs w:val="26"/>
          <w:lang w:val="en-US"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.1.2. В абзаце четвертом слова «, Федеральная налоговая служба» исключить.</w:t>
      </w:r>
    </w:p>
    <w:p w:rsidR="001C5251" w:rsidRDefault="001C5251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8F015E">
        <w:rPr>
          <w:rFonts w:ascii="PT Astra Serif" w:eastAsia="Calibri" w:hAnsi="PT Astra Serif"/>
          <w:sz w:val="28"/>
          <w:szCs w:val="26"/>
          <w:lang w:val="en-US"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.1.3. В абзаце пятом после слов «</w:t>
      </w:r>
      <w:r w:rsidRPr="001C5251">
        <w:rPr>
          <w:rFonts w:ascii="PT Astra Serif" w:eastAsia="Calibri" w:hAnsi="PT Astra Serif"/>
          <w:bCs/>
          <w:sz w:val="28"/>
          <w:szCs w:val="26"/>
          <w:lang w:eastAsia="en-US"/>
        </w:rPr>
        <w:t>предоставляются организациями</w:t>
      </w:r>
      <w:r>
        <w:rPr>
          <w:rFonts w:ascii="PT Astra Serif" w:eastAsia="Calibri" w:hAnsi="PT Astra Serif"/>
          <w:bCs/>
          <w:sz w:val="28"/>
          <w:szCs w:val="26"/>
          <w:lang w:eastAsia="en-US"/>
        </w:rPr>
        <w:t>» дополнить словами «</w:t>
      </w:r>
      <w:r w:rsidRPr="001C5251">
        <w:rPr>
          <w:rFonts w:ascii="PT Astra Serif" w:eastAsia="Calibri" w:hAnsi="PT Astra Serif"/>
          <w:sz w:val="28"/>
          <w:szCs w:val="26"/>
          <w:lang w:eastAsia="en-US"/>
        </w:rPr>
        <w:t xml:space="preserve">и уполномоченными в соответствии с законодательством </w:t>
      </w:r>
      <w:r>
        <w:rPr>
          <w:rFonts w:ascii="PT Astra Serif" w:eastAsia="Calibri" w:hAnsi="PT Astra Serif"/>
          <w:sz w:val="28"/>
          <w:szCs w:val="26"/>
          <w:lang w:eastAsia="en-US"/>
        </w:rPr>
        <w:t>Российской Федерации экспертами».</w:t>
      </w:r>
    </w:p>
    <w:p w:rsidR="00C21C8E" w:rsidRDefault="00C21C8E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2. </w:t>
      </w:r>
      <w:r w:rsidR="00544D10">
        <w:rPr>
          <w:rFonts w:ascii="PT Astra Serif" w:eastAsia="Calibri" w:hAnsi="PT Astra Serif"/>
          <w:sz w:val="28"/>
          <w:szCs w:val="26"/>
          <w:lang w:eastAsia="en-US"/>
        </w:rPr>
        <w:t>Абзац третий пункта 2.4  после слов «со дня поступления в Департамент документов» дополнить словами «и срок предоставления  муниципальной услуги составляет до 13 рабочих дней».</w:t>
      </w:r>
    </w:p>
    <w:p w:rsidR="00544D10" w:rsidRDefault="003758F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3. </w:t>
      </w:r>
      <w:r w:rsidR="008F015E">
        <w:rPr>
          <w:rFonts w:ascii="PT Astra Serif" w:eastAsia="Calibri" w:hAnsi="PT Astra Serif"/>
          <w:sz w:val="28"/>
          <w:szCs w:val="26"/>
          <w:lang w:eastAsia="en-US"/>
        </w:rPr>
        <w:t>В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пункте 2.27:</w:t>
      </w:r>
    </w:p>
    <w:p w:rsidR="003758FF" w:rsidRDefault="003758F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sz w:val="28"/>
          <w:szCs w:val="26"/>
          <w:lang w:eastAsia="en-US"/>
        </w:rPr>
        <w:t>3.1. В абзаце десятом слова «уполномоченным органом» заменить словом «Департаментом».</w:t>
      </w:r>
    </w:p>
    <w:p w:rsidR="003758FF" w:rsidRDefault="003758F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1.</w:t>
      </w:r>
      <w:r>
        <w:rPr>
          <w:rFonts w:ascii="PT Astra Serif" w:eastAsia="Calibri" w:hAnsi="PT Astra Serif"/>
          <w:sz w:val="28"/>
          <w:szCs w:val="26"/>
          <w:lang w:eastAsia="en-US"/>
        </w:rPr>
        <w:t>3.2. После абзаца двенадцатого дополнить абзацем следующего содержания:</w:t>
      </w:r>
    </w:p>
    <w:p w:rsidR="003758FF" w:rsidRDefault="003758FF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«- </w:t>
      </w:r>
      <w:r w:rsidRPr="003758FF">
        <w:rPr>
          <w:rFonts w:ascii="PT Astra Serif" w:eastAsia="Calibri" w:hAnsi="PT Astra Serif"/>
          <w:sz w:val="28"/>
          <w:szCs w:val="26"/>
          <w:lang w:eastAsia="en-US"/>
        </w:rPr>
        <w:t>осуществление оценки качества предоставления услуги</w:t>
      </w:r>
      <w:proofErr w:type="gramStart"/>
      <w:r w:rsidRPr="003758FF">
        <w:rPr>
          <w:rFonts w:ascii="PT Astra Serif" w:eastAsia="Calibri" w:hAnsi="PT Astra Serif"/>
          <w:sz w:val="28"/>
          <w:szCs w:val="26"/>
          <w:lang w:eastAsia="en-US"/>
        </w:rPr>
        <w:t>;</w:t>
      </w:r>
      <w:r>
        <w:rPr>
          <w:rFonts w:ascii="PT Astra Serif" w:eastAsia="Calibri" w:hAnsi="PT Astra Serif"/>
          <w:sz w:val="28"/>
          <w:szCs w:val="26"/>
          <w:lang w:eastAsia="en-US"/>
        </w:rPr>
        <w:t>»</w:t>
      </w:r>
      <w:proofErr w:type="gramEnd"/>
      <w:r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1C6CD4" w:rsidRPr="00024DF8" w:rsidRDefault="001C6CD4" w:rsidP="001C6CD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1.2.1.4.</w:t>
      </w:r>
      <w:r w:rsidRPr="001C6CD4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После пункта 2.2</w:t>
      </w:r>
      <w:r>
        <w:rPr>
          <w:rFonts w:ascii="PT Astra Serif" w:eastAsia="Calibri" w:hAnsi="PT Astra Serif"/>
          <w:sz w:val="28"/>
          <w:szCs w:val="26"/>
          <w:lang w:eastAsia="en-US"/>
        </w:rPr>
        <w:t>7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 xml:space="preserve"> дополнить заголовком и пунктом 2.2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8 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следующего содержания:</w:t>
      </w:r>
    </w:p>
    <w:p w:rsidR="001C6CD4" w:rsidRPr="00024DF8" w:rsidRDefault="001C6CD4" w:rsidP="001C6CD4">
      <w:pPr>
        <w:ind w:firstLine="708"/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024DF8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024DF8">
        <w:rPr>
          <w:rFonts w:ascii="PT Astra Serif" w:eastAsia="Calibri" w:hAnsi="PT Astra Serif"/>
          <w:b/>
          <w:sz w:val="28"/>
          <w:szCs w:val="26"/>
          <w:lang w:eastAsia="en-US"/>
        </w:rPr>
        <w:t>Случаи и порядок предоставления муниципальной услуги в упреждающем (</w:t>
      </w:r>
      <w:proofErr w:type="spellStart"/>
      <w:r w:rsidRPr="00024DF8">
        <w:rPr>
          <w:rFonts w:ascii="PT Astra Serif" w:eastAsia="Calibri" w:hAnsi="PT Astra Serif"/>
          <w:b/>
          <w:sz w:val="28"/>
          <w:szCs w:val="26"/>
          <w:lang w:eastAsia="en-US"/>
        </w:rPr>
        <w:t>проактивном</w:t>
      </w:r>
      <w:proofErr w:type="spellEnd"/>
      <w:r w:rsidRPr="00024DF8">
        <w:rPr>
          <w:rFonts w:ascii="PT Astra Serif" w:eastAsia="Calibri" w:hAnsi="PT Astra Serif"/>
          <w:b/>
          <w:sz w:val="28"/>
          <w:szCs w:val="26"/>
          <w:lang w:eastAsia="en-US"/>
        </w:rPr>
        <w:t xml:space="preserve">) </w:t>
      </w:r>
      <w:proofErr w:type="gramStart"/>
      <w:r w:rsidRPr="00024DF8">
        <w:rPr>
          <w:rFonts w:ascii="PT Astra Serif" w:eastAsia="Calibri" w:hAnsi="PT Astra Serif"/>
          <w:b/>
          <w:sz w:val="28"/>
          <w:szCs w:val="26"/>
          <w:lang w:eastAsia="en-US"/>
        </w:rPr>
        <w:t>режиме</w:t>
      </w:r>
      <w:proofErr w:type="gramEnd"/>
    </w:p>
    <w:p w:rsidR="001C6CD4" w:rsidRPr="00024DF8" w:rsidRDefault="001C6CD4" w:rsidP="001C6CD4">
      <w:pPr>
        <w:ind w:firstLine="708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1C6CD4" w:rsidRPr="00024DF8" w:rsidRDefault="001C6CD4" w:rsidP="001C6CD4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024DF8">
        <w:rPr>
          <w:rFonts w:ascii="PT Astra Serif" w:eastAsia="Calibri" w:hAnsi="PT Astra Serif"/>
          <w:sz w:val="28"/>
          <w:szCs w:val="26"/>
          <w:lang w:eastAsia="en-US"/>
        </w:rPr>
        <w:t>«2.2</w:t>
      </w:r>
      <w:r>
        <w:rPr>
          <w:rFonts w:ascii="PT Astra Serif" w:eastAsia="Calibri" w:hAnsi="PT Astra Serif"/>
          <w:sz w:val="28"/>
          <w:szCs w:val="26"/>
          <w:lang w:eastAsia="en-US"/>
        </w:rPr>
        <w:t>8</w:t>
      </w:r>
      <w:r w:rsidRPr="00024DF8">
        <w:rPr>
          <w:rFonts w:ascii="PT Astra Serif" w:eastAsia="Calibri" w:hAnsi="PT Astra Serif"/>
          <w:sz w:val="28"/>
          <w:szCs w:val="26"/>
          <w:lang w:eastAsia="en-US"/>
        </w:rPr>
        <w:t>. Случаи предоставления муниципальной услуги в упреждающем (</w:t>
      </w:r>
      <w:proofErr w:type="spellStart"/>
      <w:r w:rsidRPr="00024DF8">
        <w:rPr>
          <w:rFonts w:ascii="PT Astra Serif" w:eastAsia="Calibri" w:hAnsi="PT Astra Serif"/>
          <w:sz w:val="28"/>
          <w:szCs w:val="26"/>
          <w:lang w:eastAsia="en-US"/>
        </w:rPr>
        <w:t>проактивном</w:t>
      </w:r>
      <w:proofErr w:type="spellEnd"/>
      <w:r w:rsidRPr="00024DF8">
        <w:rPr>
          <w:rFonts w:ascii="PT Astra Serif" w:eastAsia="Calibri" w:hAnsi="PT Astra Serif"/>
          <w:sz w:val="28"/>
          <w:szCs w:val="26"/>
          <w:lang w:eastAsia="en-US"/>
        </w:rPr>
        <w:t>) </w:t>
      </w:r>
      <w:proofErr w:type="gramStart"/>
      <w:r w:rsidRPr="00024DF8">
        <w:rPr>
          <w:rFonts w:ascii="PT Astra Serif" w:eastAsia="Calibri" w:hAnsi="PT Astra Serif"/>
          <w:sz w:val="28"/>
          <w:szCs w:val="26"/>
          <w:lang w:eastAsia="en-US"/>
        </w:rPr>
        <w:t>режиме</w:t>
      </w:r>
      <w:proofErr w:type="gramEnd"/>
      <w:r w:rsidRPr="00024DF8">
        <w:rPr>
          <w:rFonts w:ascii="PT Astra Serif" w:eastAsia="Calibri" w:hAnsi="PT Astra Serif"/>
          <w:sz w:val="28"/>
          <w:szCs w:val="26"/>
          <w:lang w:eastAsia="en-US"/>
        </w:rPr>
        <w:t> в соответствии со </w:t>
      </w:r>
      <w:hyperlink r:id="rId10" w:anchor="/document/12177515/entry/730" w:history="1">
        <w:r w:rsidRPr="001C6CD4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статьей 7.3</w:t>
        </w:r>
      </w:hyperlink>
      <w:r w:rsidRPr="00024DF8">
        <w:rPr>
          <w:rFonts w:ascii="PT Astra Serif" w:eastAsia="Calibri" w:hAnsi="PT Astra Serif"/>
          <w:sz w:val="28"/>
          <w:szCs w:val="26"/>
          <w:lang w:eastAsia="en-US"/>
        </w:rPr>
        <w:t> Федерального закона от № 210-ФЗ не предусмотрены.».</w:t>
      </w:r>
    </w:p>
    <w:p w:rsidR="003758FF" w:rsidRDefault="008F015E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1.2.</w:t>
      </w:r>
      <w:r w:rsidR="00FB4C17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Pr="008F015E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Pr="008F015E"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>
        <w:rPr>
          <w:rFonts w:ascii="PT Astra Serif" w:eastAsia="Calibri" w:hAnsi="PT Astra Serif"/>
          <w:sz w:val="28"/>
          <w:szCs w:val="26"/>
          <w:lang w:val="en-US" w:eastAsia="en-US"/>
        </w:rPr>
        <w:t>I</w:t>
      </w:r>
      <w:r w:rsidRPr="008F015E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8F015E" w:rsidRDefault="00FB4C1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FB4C17">
        <w:rPr>
          <w:rFonts w:ascii="PT Astra Serif" w:eastAsia="Calibri" w:hAnsi="PT Astra Serif"/>
          <w:sz w:val="28"/>
          <w:szCs w:val="26"/>
          <w:lang w:eastAsia="en-US"/>
        </w:rPr>
        <w:t>1</w:t>
      </w:r>
      <w:r>
        <w:rPr>
          <w:rFonts w:ascii="PT Astra Serif" w:eastAsia="Calibri" w:hAnsi="PT Astra Serif"/>
          <w:sz w:val="28"/>
          <w:szCs w:val="26"/>
          <w:lang w:eastAsia="en-US"/>
        </w:rPr>
        <w:t>.2.2.1. Абзац третий пункта 3.9 изложить в следующей редакции:</w:t>
      </w:r>
    </w:p>
    <w:p w:rsidR="008F015E" w:rsidRDefault="00FB4C17" w:rsidP="00C429CD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«3.9.2. </w:t>
      </w:r>
      <w:r w:rsidR="008F015E" w:rsidRPr="008F015E">
        <w:rPr>
          <w:rFonts w:ascii="PT Astra Serif" w:eastAsia="Calibri" w:hAnsi="PT Astra Serif"/>
          <w:sz w:val="28"/>
          <w:szCs w:val="26"/>
          <w:lang w:eastAsia="en-US"/>
        </w:rPr>
        <w:t>в машиночитаемом формате, подписанного усиленной квалифицированной </w:t>
      </w:r>
      <w:hyperlink r:id="rId11" w:anchor="/document/12184522/entry/21" w:history="1">
        <w:r w:rsidR="008F015E" w:rsidRPr="00FB4C17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электронной подписью</w:t>
        </w:r>
      </w:hyperlink>
      <w:r w:rsidR="008F015E" w:rsidRPr="008F015E">
        <w:rPr>
          <w:rFonts w:ascii="PT Astra Serif" w:eastAsia="Calibri" w:hAnsi="PT Astra Serif"/>
          <w:sz w:val="28"/>
          <w:szCs w:val="26"/>
          <w:lang w:eastAsia="en-US"/>
        </w:rPr>
        <w:t xml:space="preserve"> со стороны </w:t>
      </w:r>
      <w:r>
        <w:rPr>
          <w:rFonts w:ascii="PT Astra Serif" w:eastAsia="Calibri" w:hAnsi="PT Astra Serif"/>
          <w:sz w:val="28"/>
          <w:szCs w:val="26"/>
          <w:lang w:eastAsia="en-US"/>
        </w:rPr>
        <w:t>Департамента с использованием Единого портала.».</w:t>
      </w:r>
    </w:p>
    <w:p w:rsidR="007E01D5" w:rsidRPr="007E01D5" w:rsidRDefault="007E01D5" w:rsidP="00EF716E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2073BB" w:rsidRDefault="009D583A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6650B9" wp14:editId="4333AB97">
                      <wp:simplePos x="0" y="0"/>
                      <wp:positionH relativeFrom="column">
                        <wp:posOffset>1890293</wp:posOffset>
                      </wp:positionH>
                      <wp:positionV relativeFrom="paragraph">
                        <wp:posOffset>6832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48.85pt;margin-top:.5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1C6CD4" w:rsidRDefault="001C6CD4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04A865D" wp14:editId="361174B4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1C6CD4" w:rsidRDefault="001C6CD4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3B793B" w:rsidRPr="000237E4" w:rsidRDefault="003B793B" w:rsidP="00366880">
      <w:pPr>
        <w:tabs>
          <w:tab w:val="left" w:pos="3594"/>
        </w:tabs>
        <w:rPr>
          <w:b/>
          <w:kern w:val="1"/>
          <w:sz w:val="24"/>
          <w:szCs w:val="24"/>
          <w:vertAlign w:val="superscript"/>
          <w:lang w:eastAsia="fa-IR" w:bidi="fa-IR"/>
        </w:rPr>
      </w:pPr>
      <w:bookmarkStart w:id="0" w:name="_GoBack"/>
      <w:bookmarkEnd w:id="0"/>
    </w:p>
    <w:sectPr w:rsidR="003B793B" w:rsidRPr="000237E4" w:rsidSect="007E01D5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39" w:rsidRDefault="00812239" w:rsidP="003C5141">
      <w:r>
        <w:separator/>
      </w:r>
    </w:p>
  </w:endnote>
  <w:endnote w:type="continuationSeparator" w:id="0">
    <w:p w:rsidR="00812239" w:rsidRDefault="0081223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39" w:rsidRDefault="00812239" w:rsidP="003C5141">
      <w:r>
        <w:separator/>
      </w:r>
    </w:p>
  </w:footnote>
  <w:footnote w:type="continuationSeparator" w:id="0">
    <w:p w:rsidR="00812239" w:rsidRDefault="0081223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CD4">
          <w:rPr>
            <w:noProof/>
          </w:rPr>
          <w:t>2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4DF8"/>
    <w:rsid w:val="00027C3B"/>
    <w:rsid w:val="0003657B"/>
    <w:rsid w:val="00052F03"/>
    <w:rsid w:val="000541B2"/>
    <w:rsid w:val="00054848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17FB0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542BE"/>
    <w:rsid w:val="0017531B"/>
    <w:rsid w:val="0018017D"/>
    <w:rsid w:val="00184ECA"/>
    <w:rsid w:val="00192DDF"/>
    <w:rsid w:val="001A2435"/>
    <w:rsid w:val="001A4A50"/>
    <w:rsid w:val="001A5EFD"/>
    <w:rsid w:val="001A6B60"/>
    <w:rsid w:val="001C3EDD"/>
    <w:rsid w:val="001C5251"/>
    <w:rsid w:val="001C6CD4"/>
    <w:rsid w:val="001C7F55"/>
    <w:rsid w:val="001D6DC8"/>
    <w:rsid w:val="001E00E4"/>
    <w:rsid w:val="001E71AE"/>
    <w:rsid w:val="001E7C75"/>
    <w:rsid w:val="001F2F65"/>
    <w:rsid w:val="001F36CC"/>
    <w:rsid w:val="001F390A"/>
    <w:rsid w:val="002073BB"/>
    <w:rsid w:val="002101EF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758FF"/>
    <w:rsid w:val="00377685"/>
    <w:rsid w:val="00385570"/>
    <w:rsid w:val="003950B1"/>
    <w:rsid w:val="003B667D"/>
    <w:rsid w:val="003B793B"/>
    <w:rsid w:val="003C5141"/>
    <w:rsid w:val="003C5751"/>
    <w:rsid w:val="003C71A0"/>
    <w:rsid w:val="003D0201"/>
    <w:rsid w:val="003D2AEA"/>
    <w:rsid w:val="003D688F"/>
    <w:rsid w:val="003D7CE8"/>
    <w:rsid w:val="003E5BFC"/>
    <w:rsid w:val="00401E01"/>
    <w:rsid w:val="00423003"/>
    <w:rsid w:val="00423852"/>
    <w:rsid w:val="00425211"/>
    <w:rsid w:val="0043217F"/>
    <w:rsid w:val="00433716"/>
    <w:rsid w:val="00435F2B"/>
    <w:rsid w:val="00451174"/>
    <w:rsid w:val="004802E9"/>
    <w:rsid w:val="00482BF8"/>
    <w:rsid w:val="00486D57"/>
    <w:rsid w:val="00494C8E"/>
    <w:rsid w:val="004A2302"/>
    <w:rsid w:val="004B0DBB"/>
    <w:rsid w:val="004B3BD3"/>
    <w:rsid w:val="004C6A75"/>
    <w:rsid w:val="004D072D"/>
    <w:rsid w:val="004E3F07"/>
    <w:rsid w:val="0050758E"/>
    <w:rsid w:val="00510950"/>
    <w:rsid w:val="00511B38"/>
    <w:rsid w:val="0051220B"/>
    <w:rsid w:val="00523D64"/>
    <w:rsid w:val="0053339B"/>
    <w:rsid w:val="005371D9"/>
    <w:rsid w:val="005402C8"/>
    <w:rsid w:val="00544D10"/>
    <w:rsid w:val="00546A7F"/>
    <w:rsid w:val="00561E65"/>
    <w:rsid w:val="0056394D"/>
    <w:rsid w:val="00565E7E"/>
    <w:rsid w:val="00576EF8"/>
    <w:rsid w:val="0058346D"/>
    <w:rsid w:val="005A7B4E"/>
    <w:rsid w:val="005B062C"/>
    <w:rsid w:val="005B24B2"/>
    <w:rsid w:val="005B3D48"/>
    <w:rsid w:val="005B7ECF"/>
    <w:rsid w:val="005D63C5"/>
    <w:rsid w:val="005E43B3"/>
    <w:rsid w:val="005F06CA"/>
    <w:rsid w:val="005F08AC"/>
    <w:rsid w:val="00624190"/>
    <w:rsid w:val="00631C7D"/>
    <w:rsid w:val="00637E27"/>
    <w:rsid w:val="00640713"/>
    <w:rsid w:val="0065328E"/>
    <w:rsid w:val="006737E9"/>
    <w:rsid w:val="00677892"/>
    <w:rsid w:val="00685F50"/>
    <w:rsid w:val="00696D92"/>
    <w:rsid w:val="006A145B"/>
    <w:rsid w:val="006A2668"/>
    <w:rsid w:val="006A4BE5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037D"/>
    <w:rsid w:val="00713C1C"/>
    <w:rsid w:val="00720F0C"/>
    <w:rsid w:val="007268A4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12239"/>
    <w:rsid w:val="0082115A"/>
    <w:rsid w:val="008267F4"/>
    <w:rsid w:val="00837502"/>
    <w:rsid w:val="00845E86"/>
    <w:rsid w:val="008478F4"/>
    <w:rsid w:val="00865C55"/>
    <w:rsid w:val="00866563"/>
    <w:rsid w:val="0086684B"/>
    <w:rsid w:val="00882496"/>
    <w:rsid w:val="00886003"/>
    <w:rsid w:val="00890262"/>
    <w:rsid w:val="008A3D1F"/>
    <w:rsid w:val="008C35FE"/>
    <w:rsid w:val="008C407D"/>
    <w:rsid w:val="008D4930"/>
    <w:rsid w:val="008F015E"/>
    <w:rsid w:val="008F0C2C"/>
    <w:rsid w:val="008F36E0"/>
    <w:rsid w:val="009029F4"/>
    <w:rsid w:val="00903B52"/>
    <w:rsid w:val="00906884"/>
    <w:rsid w:val="00914417"/>
    <w:rsid w:val="009343D2"/>
    <w:rsid w:val="009378E5"/>
    <w:rsid w:val="00952884"/>
    <w:rsid w:val="009539FA"/>
    <w:rsid w:val="00953E9C"/>
    <w:rsid w:val="0097026B"/>
    <w:rsid w:val="00977766"/>
    <w:rsid w:val="00980B76"/>
    <w:rsid w:val="00983820"/>
    <w:rsid w:val="0099376D"/>
    <w:rsid w:val="00994EF0"/>
    <w:rsid w:val="0099623B"/>
    <w:rsid w:val="00996C42"/>
    <w:rsid w:val="009A18A1"/>
    <w:rsid w:val="009A2F8C"/>
    <w:rsid w:val="009A55E9"/>
    <w:rsid w:val="009B3992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541F"/>
    <w:rsid w:val="00A82E4A"/>
    <w:rsid w:val="00A8656D"/>
    <w:rsid w:val="00A946E6"/>
    <w:rsid w:val="00A96D4A"/>
    <w:rsid w:val="00AA61BC"/>
    <w:rsid w:val="00AB09E1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AF7D8F"/>
    <w:rsid w:val="00B03A6A"/>
    <w:rsid w:val="00B06248"/>
    <w:rsid w:val="00B14AF7"/>
    <w:rsid w:val="00B25E07"/>
    <w:rsid w:val="00B33B7E"/>
    <w:rsid w:val="00B34FF5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5179"/>
    <w:rsid w:val="00BA7F70"/>
    <w:rsid w:val="00BB29CC"/>
    <w:rsid w:val="00BB578A"/>
    <w:rsid w:val="00BB5AB3"/>
    <w:rsid w:val="00BD5599"/>
    <w:rsid w:val="00BD7EE5"/>
    <w:rsid w:val="00BE1CAB"/>
    <w:rsid w:val="00BE5E50"/>
    <w:rsid w:val="00BF11F9"/>
    <w:rsid w:val="00C005F9"/>
    <w:rsid w:val="00C17A53"/>
    <w:rsid w:val="00C21C8E"/>
    <w:rsid w:val="00C22DB4"/>
    <w:rsid w:val="00C26832"/>
    <w:rsid w:val="00C27E8E"/>
    <w:rsid w:val="00C32731"/>
    <w:rsid w:val="00C427D2"/>
    <w:rsid w:val="00C429CD"/>
    <w:rsid w:val="00C44B55"/>
    <w:rsid w:val="00C46EEF"/>
    <w:rsid w:val="00C47163"/>
    <w:rsid w:val="00C7714E"/>
    <w:rsid w:val="00C80C8B"/>
    <w:rsid w:val="00C94867"/>
    <w:rsid w:val="00CA128B"/>
    <w:rsid w:val="00CA4D28"/>
    <w:rsid w:val="00CA56F8"/>
    <w:rsid w:val="00CE2A5A"/>
    <w:rsid w:val="00CF3518"/>
    <w:rsid w:val="00D01A38"/>
    <w:rsid w:val="00D04A3B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77C87"/>
    <w:rsid w:val="00D827D5"/>
    <w:rsid w:val="00D86F24"/>
    <w:rsid w:val="00D91555"/>
    <w:rsid w:val="00D97ACC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371F7"/>
    <w:rsid w:val="00E742C0"/>
    <w:rsid w:val="00E8507A"/>
    <w:rsid w:val="00E85A3B"/>
    <w:rsid w:val="00E864FB"/>
    <w:rsid w:val="00E91200"/>
    <w:rsid w:val="00E9553E"/>
    <w:rsid w:val="00E96878"/>
    <w:rsid w:val="00EA3C05"/>
    <w:rsid w:val="00EA4E85"/>
    <w:rsid w:val="00EB2CE3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02B32"/>
    <w:rsid w:val="00F11E60"/>
    <w:rsid w:val="00F17DF3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03B5"/>
    <w:rsid w:val="00F930E6"/>
    <w:rsid w:val="00F96133"/>
    <w:rsid w:val="00F96857"/>
    <w:rsid w:val="00FA2C75"/>
    <w:rsid w:val="00FB4C17"/>
    <w:rsid w:val="00FB5C5A"/>
    <w:rsid w:val="00FC51EB"/>
    <w:rsid w:val="00FD6657"/>
    <w:rsid w:val="00FE16E9"/>
    <w:rsid w:val="00FE4D8B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3A4A-94EE-4D50-9075-0DEAE507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114</cp:revision>
  <cp:lastPrinted>2023-12-07T10:26:00Z</cp:lastPrinted>
  <dcterms:created xsi:type="dcterms:W3CDTF">2023-03-21T06:43:00Z</dcterms:created>
  <dcterms:modified xsi:type="dcterms:W3CDTF">2025-03-13T07:46:00Z</dcterms:modified>
</cp:coreProperties>
</file>